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7383" w14:textId="29F99C39" w:rsidR="001548B0" w:rsidRPr="004C73CC" w:rsidRDefault="001548B0" w:rsidP="001548B0">
      <w:pPr>
        <w:spacing w:after="0" w:line="240" w:lineRule="auto"/>
        <w:rPr>
          <w:b/>
          <w:sz w:val="28"/>
          <w:szCs w:val="25"/>
        </w:rPr>
      </w:pPr>
      <w:r w:rsidRPr="004C73CC">
        <w:rPr>
          <w:b/>
          <w:noProof/>
          <w:sz w:val="28"/>
          <w:szCs w:val="25"/>
        </w:rPr>
        <w:t xml:space="preserve">Century Heritage FCU - </w:t>
      </w:r>
      <w:r w:rsidRPr="004C73CC">
        <w:rPr>
          <w:b/>
          <w:sz w:val="28"/>
          <w:szCs w:val="25"/>
        </w:rPr>
        <w:t>Master</w:t>
      </w:r>
      <w:r w:rsidR="00114154">
        <w:rPr>
          <w:b/>
          <w:sz w:val="28"/>
          <w:szCs w:val="25"/>
        </w:rPr>
        <w:t>c</w:t>
      </w:r>
      <w:r w:rsidRPr="004C73CC">
        <w:rPr>
          <w:b/>
          <w:sz w:val="28"/>
          <w:szCs w:val="25"/>
        </w:rPr>
        <w:t>ard Platinum Application and Solicitation Disclosure</w:t>
      </w:r>
    </w:p>
    <w:tbl>
      <w:tblPr>
        <w:tblStyle w:val="TableGrid1"/>
        <w:tblpPr w:leftFromText="180" w:rightFromText="180" w:horzAnchor="margin" w:tblpY="540"/>
        <w:tblW w:w="0" w:type="auto"/>
        <w:tblLook w:val="04A0" w:firstRow="1" w:lastRow="0" w:firstColumn="1" w:lastColumn="0" w:noHBand="0" w:noVBand="1"/>
      </w:tblPr>
      <w:tblGrid>
        <w:gridCol w:w="3258"/>
        <w:gridCol w:w="6840"/>
      </w:tblGrid>
      <w:tr w:rsidR="001548B0" w:rsidRPr="004C73CC" w14:paraId="06EFFBD4" w14:textId="77777777" w:rsidTr="001D3F60">
        <w:tc>
          <w:tcPr>
            <w:tcW w:w="10098" w:type="dxa"/>
            <w:gridSpan w:val="2"/>
            <w:shd w:val="clear" w:color="auto" w:fill="D9D9D9" w:themeFill="background1" w:themeFillShade="D9"/>
          </w:tcPr>
          <w:p w14:paraId="3E5611A7" w14:textId="77777777" w:rsidR="001548B0" w:rsidRPr="004C73CC" w:rsidRDefault="001548B0" w:rsidP="001D3F60">
            <w:pPr>
              <w:widowControl/>
              <w:spacing w:after="0" w:line="240" w:lineRule="auto"/>
              <w:rPr>
                <w:b/>
                <w:sz w:val="24"/>
              </w:rPr>
            </w:pPr>
            <w:bookmarkStart w:id="0" w:name="_Hlk536788062"/>
            <w:r w:rsidRPr="004C73CC">
              <w:rPr>
                <w:b/>
                <w:sz w:val="24"/>
              </w:rPr>
              <w:t>Interest Rates and Interest Charges</w:t>
            </w:r>
          </w:p>
        </w:tc>
      </w:tr>
      <w:tr w:rsidR="001548B0" w:rsidRPr="004C73CC" w14:paraId="64B818BF" w14:textId="77777777" w:rsidTr="001D3F60">
        <w:trPr>
          <w:trHeight w:val="908"/>
        </w:trPr>
        <w:tc>
          <w:tcPr>
            <w:tcW w:w="3258" w:type="dxa"/>
          </w:tcPr>
          <w:p w14:paraId="3F9CA46B" w14:textId="77777777" w:rsidR="001548B0" w:rsidRPr="004C73CC" w:rsidRDefault="001548B0" w:rsidP="001D3F60">
            <w:pPr>
              <w:widowControl/>
              <w:spacing w:after="0" w:line="240" w:lineRule="auto"/>
              <w:rPr>
                <w:b/>
              </w:rPr>
            </w:pPr>
            <w:r w:rsidRPr="004C73CC">
              <w:rPr>
                <w:b/>
                <w:sz w:val="20"/>
              </w:rPr>
              <w:t>Annual Percentage Rate (APR) for Purchases</w:t>
            </w:r>
          </w:p>
        </w:tc>
        <w:tc>
          <w:tcPr>
            <w:tcW w:w="6840" w:type="dxa"/>
          </w:tcPr>
          <w:p w14:paraId="775C83BF" w14:textId="77777777" w:rsidR="001548B0" w:rsidRPr="004C73CC" w:rsidRDefault="001548B0" w:rsidP="001D3F60">
            <w:pPr>
              <w:widowControl/>
              <w:spacing w:after="0" w:line="240" w:lineRule="auto"/>
              <w:rPr>
                <w:b/>
                <w:sz w:val="40"/>
              </w:rPr>
            </w:pPr>
            <w:r w:rsidRPr="004C73CC">
              <w:rPr>
                <w:b/>
                <w:sz w:val="36"/>
              </w:rPr>
              <w:t xml:space="preserve">8.50% to 17.50% </w:t>
            </w:r>
            <w:r w:rsidRPr="004C73CC">
              <w:rPr>
                <w:b/>
                <w:sz w:val="32"/>
              </w:rPr>
              <w:t>when you open your account, based on your creditworthiness.</w:t>
            </w:r>
          </w:p>
          <w:p w14:paraId="33371F4A" w14:textId="77777777" w:rsidR="001548B0" w:rsidRPr="004C73CC" w:rsidRDefault="001548B0" w:rsidP="001D3F60">
            <w:pPr>
              <w:widowControl/>
              <w:spacing w:after="0" w:line="240" w:lineRule="auto"/>
              <w:rPr>
                <w:b/>
              </w:rPr>
            </w:pPr>
          </w:p>
        </w:tc>
      </w:tr>
      <w:tr w:rsidR="001548B0" w:rsidRPr="004C73CC" w14:paraId="6058FD37" w14:textId="77777777" w:rsidTr="001D3F60">
        <w:trPr>
          <w:trHeight w:val="1583"/>
        </w:trPr>
        <w:tc>
          <w:tcPr>
            <w:tcW w:w="3258" w:type="dxa"/>
          </w:tcPr>
          <w:p w14:paraId="059A4071" w14:textId="77777777" w:rsidR="001548B0" w:rsidRPr="004C73CC" w:rsidRDefault="001548B0" w:rsidP="001D3F60">
            <w:pPr>
              <w:widowControl/>
              <w:spacing w:after="0" w:line="240" w:lineRule="auto"/>
              <w:rPr>
                <w:b/>
              </w:rPr>
            </w:pPr>
            <w:r w:rsidRPr="004C73CC">
              <w:rPr>
                <w:b/>
                <w:sz w:val="20"/>
              </w:rPr>
              <w:t>APR for Balance Transfers</w:t>
            </w:r>
          </w:p>
        </w:tc>
        <w:tc>
          <w:tcPr>
            <w:tcW w:w="6840" w:type="dxa"/>
          </w:tcPr>
          <w:p w14:paraId="09A6D57E" w14:textId="24CC3BDD" w:rsidR="001548B0" w:rsidRPr="005C21CB" w:rsidRDefault="00A3361E" w:rsidP="00717D5E">
            <w:pPr>
              <w:widowControl/>
              <w:spacing w:after="0" w:line="240" w:lineRule="auto"/>
              <w:rPr>
                <w:b/>
                <w:sz w:val="24"/>
              </w:rPr>
            </w:pPr>
            <w:r w:rsidRPr="00A3361E">
              <w:rPr>
                <w:b/>
                <w:sz w:val="24"/>
              </w:rPr>
              <w:t xml:space="preserve">*0.00% Promotional Annual Percentage Rate (APR) applies to balance transfers posted between January 1, </w:t>
            </w:r>
            <w:proofErr w:type="gramStart"/>
            <w:r w:rsidRPr="00A3361E">
              <w:rPr>
                <w:b/>
                <w:sz w:val="24"/>
              </w:rPr>
              <w:t>2023</w:t>
            </w:r>
            <w:proofErr w:type="gramEnd"/>
            <w:r w:rsidRPr="00A3361E">
              <w:rPr>
                <w:b/>
                <w:sz w:val="24"/>
              </w:rPr>
              <w:t xml:space="preserve"> through March 31, 2023 and runs for 9-months from your first transfer. An APR between 8.50% and 17.50%, based on your credit, will apply to all other transactions and any transfer amount remaining at the end of the promotional period. Multiple transfers permitted up to your credit limit. A fee of 3% of the balance per transfer request applies.  Interest begins to accrue on transfers on the next payment date.</w:t>
            </w:r>
          </w:p>
        </w:tc>
      </w:tr>
      <w:tr w:rsidR="001548B0" w:rsidRPr="004C73CC" w14:paraId="64775643" w14:textId="77777777" w:rsidTr="001D3F60">
        <w:trPr>
          <w:trHeight w:val="602"/>
        </w:trPr>
        <w:tc>
          <w:tcPr>
            <w:tcW w:w="3258" w:type="dxa"/>
          </w:tcPr>
          <w:p w14:paraId="50F71AE5" w14:textId="77777777" w:rsidR="001548B0" w:rsidRPr="004C73CC" w:rsidRDefault="001548B0" w:rsidP="001D3F60">
            <w:pPr>
              <w:widowControl/>
              <w:spacing w:after="0" w:line="240" w:lineRule="auto"/>
              <w:rPr>
                <w:b/>
              </w:rPr>
            </w:pPr>
            <w:r w:rsidRPr="004C73CC">
              <w:rPr>
                <w:b/>
                <w:sz w:val="20"/>
              </w:rPr>
              <w:t>APR for Cash Advances</w:t>
            </w:r>
          </w:p>
        </w:tc>
        <w:tc>
          <w:tcPr>
            <w:tcW w:w="6840" w:type="dxa"/>
          </w:tcPr>
          <w:p w14:paraId="32CF9CF5" w14:textId="77777777" w:rsidR="001548B0" w:rsidRPr="004C73CC" w:rsidRDefault="001548B0" w:rsidP="001D3F60">
            <w:pPr>
              <w:widowControl/>
              <w:spacing w:after="0" w:line="240" w:lineRule="auto"/>
              <w:rPr>
                <w:b/>
                <w:sz w:val="24"/>
              </w:rPr>
            </w:pPr>
            <w:r w:rsidRPr="004C73CC">
              <w:rPr>
                <w:b/>
                <w:sz w:val="24"/>
              </w:rPr>
              <w:t>8.50% to 17.50 when you open your account, based on your creditworthiness.</w:t>
            </w:r>
          </w:p>
          <w:p w14:paraId="61C52DB5" w14:textId="77777777" w:rsidR="001548B0" w:rsidRPr="004C73CC" w:rsidRDefault="001548B0" w:rsidP="001D3F60">
            <w:pPr>
              <w:widowControl/>
              <w:spacing w:after="0" w:line="240" w:lineRule="auto"/>
              <w:rPr>
                <w:b/>
                <w:sz w:val="24"/>
              </w:rPr>
            </w:pPr>
          </w:p>
        </w:tc>
      </w:tr>
      <w:tr w:rsidR="001548B0" w:rsidRPr="004C73CC" w14:paraId="59EBF281" w14:textId="77777777" w:rsidTr="001D3F60">
        <w:trPr>
          <w:trHeight w:val="800"/>
        </w:trPr>
        <w:tc>
          <w:tcPr>
            <w:tcW w:w="3258" w:type="dxa"/>
          </w:tcPr>
          <w:p w14:paraId="51353C8E" w14:textId="77777777" w:rsidR="001548B0" w:rsidRPr="004C73CC" w:rsidRDefault="001548B0" w:rsidP="001D3F60">
            <w:pPr>
              <w:widowControl/>
              <w:spacing w:after="0" w:line="240" w:lineRule="auto"/>
              <w:rPr>
                <w:b/>
                <w:sz w:val="20"/>
              </w:rPr>
            </w:pPr>
            <w:r w:rsidRPr="004C73CC">
              <w:rPr>
                <w:b/>
                <w:sz w:val="20"/>
              </w:rPr>
              <w:t>How to Avoid Paying Interest on Purchases</w:t>
            </w:r>
          </w:p>
        </w:tc>
        <w:tc>
          <w:tcPr>
            <w:tcW w:w="6840" w:type="dxa"/>
          </w:tcPr>
          <w:p w14:paraId="0260E2DD" w14:textId="77777777" w:rsidR="001548B0" w:rsidRPr="004C73CC" w:rsidRDefault="001548B0" w:rsidP="001D3F60">
            <w:pPr>
              <w:widowControl/>
              <w:spacing w:after="0" w:line="240" w:lineRule="auto"/>
              <w:rPr>
                <w:sz w:val="20"/>
              </w:rPr>
            </w:pPr>
            <w:r w:rsidRPr="004C73CC">
              <w:rPr>
                <w:sz w:val="20"/>
              </w:rPr>
              <w:t>Your due date is at least 25 days after the close of each billing cycle. We will not charge you any interest on purchases if you pay your entire balance by the due date each month. We will begin charging interest on balance transfers and cash advances on the transaction date.</w:t>
            </w:r>
          </w:p>
        </w:tc>
      </w:tr>
      <w:tr w:rsidR="001548B0" w:rsidRPr="004C73CC" w14:paraId="09F8D8F5" w14:textId="77777777" w:rsidTr="001D3F60">
        <w:tc>
          <w:tcPr>
            <w:tcW w:w="3258" w:type="dxa"/>
            <w:tcBorders>
              <w:bottom w:val="single" w:sz="4" w:space="0" w:color="auto"/>
            </w:tcBorders>
          </w:tcPr>
          <w:p w14:paraId="4BC31DE0" w14:textId="77777777" w:rsidR="001548B0" w:rsidRPr="004C73CC" w:rsidRDefault="001548B0" w:rsidP="001D3F60">
            <w:pPr>
              <w:widowControl/>
              <w:spacing w:after="0" w:line="240" w:lineRule="auto"/>
              <w:rPr>
                <w:b/>
                <w:sz w:val="20"/>
              </w:rPr>
            </w:pPr>
            <w:r w:rsidRPr="004C73CC">
              <w:rPr>
                <w:b/>
                <w:sz w:val="20"/>
              </w:rPr>
              <w:t>For Credit Card Tips from the Consumer Financial Protection Bureau</w:t>
            </w:r>
          </w:p>
        </w:tc>
        <w:tc>
          <w:tcPr>
            <w:tcW w:w="6840" w:type="dxa"/>
            <w:tcBorders>
              <w:bottom w:val="single" w:sz="4" w:space="0" w:color="auto"/>
            </w:tcBorders>
          </w:tcPr>
          <w:p w14:paraId="175DF125" w14:textId="77777777" w:rsidR="001548B0" w:rsidRPr="004C73CC" w:rsidRDefault="001548B0" w:rsidP="001D3F60">
            <w:pPr>
              <w:widowControl/>
              <w:spacing w:after="0" w:line="240" w:lineRule="auto"/>
              <w:rPr>
                <w:b/>
                <w:sz w:val="20"/>
              </w:rPr>
            </w:pPr>
            <w:r w:rsidRPr="004C73CC">
              <w:rPr>
                <w:b/>
                <w:sz w:val="20"/>
              </w:rPr>
              <w:t>To learn more about factors to consider when applying for or using a credit card, visit the website of the Consumer Financial Protection Bureau at http://www.consumerfinance.gov/learnmore.</w:t>
            </w:r>
          </w:p>
        </w:tc>
      </w:tr>
      <w:tr w:rsidR="001548B0" w:rsidRPr="004C73CC" w14:paraId="07EA205D" w14:textId="77777777" w:rsidTr="001D3F60">
        <w:tc>
          <w:tcPr>
            <w:tcW w:w="10098" w:type="dxa"/>
            <w:gridSpan w:val="2"/>
            <w:shd w:val="clear" w:color="auto" w:fill="D9D9D9" w:themeFill="background1" w:themeFillShade="D9"/>
          </w:tcPr>
          <w:p w14:paraId="2AA7F18B" w14:textId="77777777" w:rsidR="001548B0" w:rsidRPr="004C73CC" w:rsidRDefault="001548B0" w:rsidP="001D3F60">
            <w:pPr>
              <w:widowControl/>
              <w:spacing w:after="0" w:line="240" w:lineRule="auto"/>
            </w:pPr>
            <w:r w:rsidRPr="004C73CC">
              <w:rPr>
                <w:b/>
                <w:sz w:val="24"/>
              </w:rPr>
              <w:t>Fees</w:t>
            </w:r>
          </w:p>
        </w:tc>
      </w:tr>
      <w:tr w:rsidR="001548B0" w:rsidRPr="004C73CC" w14:paraId="64D2D285" w14:textId="77777777" w:rsidTr="001D3F60">
        <w:tc>
          <w:tcPr>
            <w:tcW w:w="3258" w:type="dxa"/>
          </w:tcPr>
          <w:p w14:paraId="3BE85279" w14:textId="77777777" w:rsidR="001548B0" w:rsidRPr="004C73CC" w:rsidRDefault="001548B0" w:rsidP="001D3F60">
            <w:pPr>
              <w:widowControl/>
              <w:spacing w:after="0" w:line="240" w:lineRule="auto"/>
              <w:rPr>
                <w:b/>
                <w:sz w:val="20"/>
              </w:rPr>
            </w:pPr>
            <w:r w:rsidRPr="004C73CC">
              <w:rPr>
                <w:b/>
                <w:sz w:val="20"/>
              </w:rPr>
              <w:t>Transaction Fees</w:t>
            </w:r>
          </w:p>
          <w:p w14:paraId="5AB0B8C2" w14:textId="77777777" w:rsidR="001548B0" w:rsidRPr="004C73CC" w:rsidRDefault="001548B0" w:rsidP="001D3F60">
            <w:pPr>
              <w:widowControl/>
              <w:numPr>
                <w:ilvl w:val="0"/>
                <w:numId w:val="1"/>
              </w:numPr>
              <w:spacing w:after="0" w:line="240" w:lineRule="auto"/>
              <w:contextualSpacing/>
              <w:rPr>
                <w:sz w:val="20"/>
              </w:rPr>
            </w:pPr>
            <w:r w:rsidRPr="004C73CC">
              <w:rPr>
                <w:sz w:val="20"/>
              </w:rPr>
              <w:t>Balance Transfer</w:t>
            </w:r>
          </w:p>
          <w:p w14:paraId="48ACCB49" w14:textId="77777777" w:rsidR="001548B0" w:rsidRPr="004C73CC" w:rsidRDefault="001548B0" w:rsidP="001D3F60">
            <w:pPr>
              <w:widowControl/>
              <w:numPr>
                <w:ilvl w:val="0"/>
                <w:numId w:val="1"/>
              </w:numPr>
              <w:spacing w:after="0" w:line="240" w:lineRule="auto"/>
              <w:contextualSpacing/>
              <w:rPr>
                <w:sz w:val="20"/>
              </w:rPr>
            </w:pPr>
            <w:r w:rsidRPr="004C73CC">
              <w:rPr>
                <w:sz w:val="20"/>
              </w:rPr>
              <w:t>Cash Advance</w:t>
            </w:r>
          </w:p>
          <w:p w14:paraId="27FF7D12" w14:textId="77777777" w:rsidR="001548B0" w:rsidRPr="004C73CC" w:rsidRDefault="001548B0" w:rsidP="001D3F60">
            <w:pPr>
              <w:widowControl/>
              <w:numPr>
                <w:ilvl w:val="0"/>
                <w:numId w:val="1"/>
              </w:numPr>
              <w:spacing w:after="0" w:line="240" w:lineRule="auto"/>
              <w:contextualSpacing/>
              <w:rPr>
                <w:sz w:val="20"/>
              </w:rPr>
            </w:pPr>
            <w:r w:rsidRPr="004C73CC">
              <w:rPr>
                <w:sz w:val="20"/>
              </w:rPr>
              <w:t>Foreign transaction Fee</w:t>
            </w:r>
          </w:p>
        </w:tc>
        <w:tc>
          <w:tcPr>
            <w:tcW w:w="6840" w:type="dxa"/>
          </w:tcPr>
          <w:p w14:paraId="0F6DF54E" w14:textId="77777777" w:rsidR="001548B0" w:rsidRPr="004C73CC" w:rsidRDefault="001548B0" w:rsidP="001D3F60">
            <w:pPr>
              <w:widowControl/>
              <w:spacing w:after="0" w:line="240" w:lineRule="auto"/>
              <w:rPr>
                <w:b/>
                <w:sz w:val="20"/>
              </w:rPr>
            </w:pPr>
          </w:p>
          <w:p w14:paraId="08687C0B" w14:textId="3C11F668" w:rsidR="001548B0" w:rsidRPr="004C73CC" w:rsidRDefault="00A3361E" w:rsidP="001D3F60">
            <w:pPr>
              <w:widowControl/>
              <w:spacing w:after="0" w:line="240" w:lineRule="auto"/>
              <w:rPr>
                <w:b/>
                <w:sz w:val="20"/>
              </w:rPr>
            </w:pPr>
            <w:r>
              <w:rPr>
                <w:b/>
                <w:sz w:val="20"/>
              </w:rPr>
              <w:t>3.00% APR</w:t>
            </w:r>
          </w:p>
          <w:p w14:paraId="2B6B6925" w14:textId="77777777" w:rsidR="001548B0" w:rsidRPr="004C73CC" w:rsidRDefault="001548B0" w:rsidP="001D3F60">
            <w:pPr>
              <w:widowControl/>
              <w:spacing w:after="0" w:line="240" w:lineRule="auto"/>
              <w:rPr>
                <w:b/>
                <w:sz w:val="20"/>
              </w:rPr>
            </w:pPr>
            <w:r w:rsidRPr="004C73CC">
              <w:rPr>
                <w:b/>
                <w:sz w:val="20"/>
              </w:rPr>
              <w:t>None</w:t>
            </w:r>
          </w:p>
          <w:p w14:paraId="52AD7E4B" w14:textId="77777777" w:rsidR="001548B0" w:rsidRPr="004C73CC" w:rsidRDefault="001548B0" w:rsidP="001D3F60">
            <w:pPr>
              <w:widowControl/>
              <w:spacing w:after="0" w:line="240" w:lineRule="auto"/>
              <w:rPr>
                <w:sz w:val="20"/>
              </w:rPr>
            </w:pPr>
            <w:r w:rsidRPr="004C73CC">
              <w:rPr>
                <w:b/>
                <w:sz w:val="20"/>
              </w:rPr>
              <w:t xml:space="preserve">1.00% </w:t>
            </w:r>
            <w:r w:rsidRPr="004C73CC">
              <w:rPr>
                <w:sz w:val="20"/>
              </w:rPr>
              <w:t>of each transaction in U.S. dollars</w:t>
            </w:r>
          </w:p>
        </w:tc>
      </w:tr>
      <w:tr w:rsidR="001548B0" w:rsidRPr="004C73CC" w14:paraId="79F832E6" w14:textId="77777777" w:rsidTr="001D3F60">
        <w:tc>
          <w:tcPr>
            <w:tcW w:w="3258" w:type="dxa"/>
          </w:tcPr>
          <w:p w14:paraId="06E318E7" w14:textId="77777777" w:rsidR="001548B0" w:rsidRPr="004C73CC" w:rsidRDefault="001548B0" w:rsidP="001D3F60">
            <w:pPr>
              <w:widowControl/>
              <w:spacing w:after="0" w:line="240" w:lineRule="auto"/>
              <w:rPr>
                <w:b/>
                <w:sz w:val="20"/>
              </w:rPr>
            </w:pPr>
            <w:r w:rsidRPr="004C73CC">
              <w:rPr>
                <w:b/>
                <w:sz w:val="20"/>
              </w:rPr>
              <w:t>Penalty Fees</w:t>
            </w:r>
          </w:p>
          <w:p w14:paraId="513F0E90" w14:textId="77777777" w:rsidR="001548B0" w:rsidRPr="004C73CC" w:rsidRDefault="001548B0" w:rsidP="001D3F60">
            <w:pPr>
              <w:widowControl/>
              <w:numPr>
                <w:ilvl w:val="0"/>
                <w:numId w:val="1"/>
              </w:numPr>
              <w:spacing w:after="0" w:line="240" w:lineRule="auto"/>
              <w:contextualSpacing/>
              <w:rPr>
                <w:sz w:val="20"/>
              </w:rPr>
            </w:pPr>
            <w:r w:rsidRPr="004C73CC">
              <w:rPr>
                <w:sz w:val="20"/>
              </w:rPr>
              <w:t>Late Payment Fee</w:t>
            </w:r>
          </w:p>
          <w:p w14:paraId="7B1E9070" w14:textId="77777777" w:rsidR="001548B0" w:rsidRPr="004C73CC" w:rsidRDefault="001548B0" w:rsidP="001D3F60">
            <w:pPr>
              <w:widowControl/>
              <w:spacing w:after="0" w:line="240" w:lineRule="auto"/>
              <w:ind w:left="720"/>
              <w:contextualSpacing/>
              <w:rPr>
                <w:sz w:val="20"/>
              </w:rPr>
            </w:pPr>
          </w:p>
          <w:p w14:paraId="5E9808A1" w14:textId="77777777" w:rsidR="001548B0" w:rsidRPr="004C73CC" w:rsidRDefault="001548B0" w:rsidP="001D3F60">
            <w:pPr>
              <w:widowControl/>
              <w:spacing w:after="0" w:line="240" w:lineRule="auto"/>
              <w:ind w:left="720"/>
              <w:contextualSpacing/>
              <w:rPr>
                <w:sz w:val="20"/>
              </w:rPr>
            </w:pPr>
          </w:p>
          <w:p w14:paraId="098FF0B8" w14:textId="77777777" w:rsidR="001548B0" w:rsidRPr="004C73CC" w:rsidRDefault="001548B0" w:rsidP="001D3F60">
            <w:pPr>
              <w:widowControl/>
              <w:numPr>
                <w:ilvl w:val="0"/>
                <w:numId w:val="1"/>
              </w:numPr>
              <w:spacing w:after="0" w:line="240" w:lineRule="auto"/>
              <w:contextualSpacing/>
              <w:rPr>
                <w:sz w:val="20"/>
              </w:rPr>
            </w:pPr>
            <w:r w:rsidRPr="004C73CC">
              <w:rPr>
                <w:sz w:val="20"/>
              </w:rPr>
              <w:t>Over-the-Credit Limit</w:t>
            </w:r>
          </w:p>
          <w:p w14:paraId="7212695B" w14:textId="77777777" w:rsidR="001548B0" w:rsidRPr="004C73CC" w:rsidRDefault="001548B0" w:rsidP="001D3F60">
            <w:pPr>
              <w:widowControl/>
              <w:numPr>
                <w:ilvl w:val="0"/>
                <w:numId w:val="1"/>
              </w:numPr>
              <w:spacing w:after="0" w:line="240" w:lineRule="auto"/>
              <w:contextualSpacing/>
              <w:rPr>
                <w:sz w:val="20"/>
              </w:rPr>
            </w:pPr>
            <w:r w:rsidRPr="004C73CC">
              <w:rPr>
                <w:sz w:val="20"/>
              </w:rPr>
              <w:t>Returned Payment Fee</w:t>
            </w:r>
          </w:p>
        </w:tc>
        <w:tc>
          <w:tcPr>
            <w:tcW w:w="6840" w:type="dxa"/>
          </w:tcPr>
          <w:p w14:paraId="4760AFD6" w14:textId="77777777" w:rsidR="001548B0" w:rsidRPr="004C73CC" w:rsidRDefault="001548B0" w:rsidP="001D3F60">
            <w:pPr>
              <w:widowControl/>
              <w:spacing w:after="0" w:line="240" w:lineRule="auto"/>
              <w:rPr>
                <w:sz w:val="20"/>
              </w:rPr>
            </w:pPr>
          </w:p>
          <w:p w14:paraId="63466E3F" w14:textId="77777777" w:rsidR="001548B0" w:rsidRPr="004C73CC" w:rsidRDefault="001548B0" w:rsidP="001D3F60">
            <w:pPr>
              <w:widowControl/>
              <w:spacing w:after="0" w:line="240" w:lineRule="auto"/>
              <w:rPr>
                <w:b/>
                <w:sz w:val="20"/>
              </w:rPr>
            </w:pPr>
            <w:r w:rsidRPr="004C73CC">
              <w:rPr>
                <w:sz w:val="20"/>
              </w:rPr>
              <w:t>$20.00 or the amount of the required minimum payment, whichever is less, if you are ten (10) or more days late in making a payment.</w:t>
            </w:r>
          </w:p>
          <w:p w14:paraId="200047FF" w14:textId="77777777" w:rsidR="001548B0" w:rsidRPr="004C73CC" w:rsidRDefault="001548B0" w:rsidP="001D3F60">
            <w:pPr>
              <w:widowControl/>
              <w:spacing w:after="0" w:line="240" w:lineRule="auto"/>
              <w:rPr>
                <w:sz w:val="20"/>
              </w:rPr>
            </w:pPr>
          </w:p>
          <w:p w14:paraId="45D6C4B3" w14:textId="77777777" w:rsidR="001548B0" w:rsidRPr="004C73CC" w:rsidRDefault="001548B0" w:rsidP="001D3F60">
            <w:pPr>
              <w:widowControl/>
              <w:spacing w:after="0" w:line="240" w:lineRule="auto"/>
              <w:rPr>
                <w:b/>
                <w:sz w:val="20"/>
              </w:rPr>
            </w:pPr>
            <w:r w:rsidRPr="004C73CC">
              <w:rPr>
                <w:b/>
                <w:sz w:val="20"/>
              </w:rPr>
              <w:t>None</w:t>
            </w:r>
          </w:p>
          <w:p w14:paraId="5B44D04E" w14:textId="77777777" w:rsidR="001548B0" w:rsidRPr="004C73CC" w:rsidRDefault="001548B0" w:rsidP="001D3F60">
            <w:pPr>
              <w:widowControl/>
              <w:spacing w:after="0" w:line="240" w:lineRule="auto"/>
              <w:rPr>
                <w:sz w:val="20"/>
              </w:rPr>
            </w:pPr>
            <w:r w:rsidRPr="004C73CC">
              <w:rPr>
                <w:sz w:val="20"/>
              </w:rPr>
              <w:t>$15.00 or the amount of the required minimum payment, whichever is less.</w:t>
            </w:r>
          </w:p>
        </w:tc>
      </w:tr>
      <w:bookmarkEnd w:id="0"/>
    </w:tbl>
    <w:p w14:paraId="41C59758" w14:textId="77777777" w:rsidR="001548B0" w:rsidRDefault="001548B0" w:rsidP="001548B0">
      <w:pPr>
        <w:widowControl/>
        <w:spacing w:after="0" w:line="240" w:lineRule="auto"/>
        <w:rPr>
          <w:b/>
          <w:sz w:val="20"/>
        </w:rPr>
      </w:pPr>
    </w:p>
    <w:p w14:paraId="544BD320" w14:textId="77777777" w:rsidR="001548B0" w:rsidRDefault="001548B0" w:rsidP="001548B0">
      <w:pPr>
        <w:widowControl/>
        <w:spacing w:after="0" w:line="240" w:lineRule="auto"/>
        <w:rPr>
          <w:b/>
          <w:sz w:val="20"/>
        </w:rPr>
      </w:pPr>
    </w:p>
    <w:p w14:paraId="7BEF4963" w14:textId="77777777" w:rsidR="001548B0" w:rsidRDefault="001548B0" w:rsidP="001548B0">
      <w:pPr>
        <w:widowControl/>
        <w:spacing w:after="0" w:line="240" w:lineRule="auto"/>
        <w:rPr>
          <w:b/>
          <w:sz w:val="20"/>
        </w:rPr>
      </w:pPr>
    </w:p>
    <w:p w14:paraId="25DF6835" w14:textId="77777777" w:rsidR="001548B0" w:rsidRDefault="001548B0" w:rsidP="001548B0">
      <w:pPr>
        <w:widowControl/>
        <w:spacing w:after="0" w:line="240" w:lineRule="auto"/>
        <w:rPr>
          <w:b/>
          <w:sz w:val="20"/>
        </w:rPr>
      </w:pPr>
    </w:p>
    <w:p w14:paraId="06AD7BDE" w14:textId="77777777" w:rsidR="001548B0" w:rsidRDefault="001548B0" w:rsidP="001548B0">
      <w:pPr>
        <w:widowControl/>
        <w:spacing w:after="0" w:line="240" w:lineRule="auto"/>
        <w:rPr>
          <w:b/>
          <w:sz w:val="20"/>
        </w:rPr>
      </w:pPr>
    </w:p>
    <w:p w14:paraId="4875B97B" w14:textId="77777777" w:rsidR="001548B0" w:rsidRDefault="001548B0" w:rsidP="001548B0">
      <w:pPr>
        <w:widowControl/>
        <w:spacing w:after="0" w:line="240" w:lineRule="auto"/>
        <w:rPr>
          <w:b/>
          <w:sz w:val="20"/>
        </w:rPr>
      </w:pPr>
    </w:p>
    <w:p w14:paraId="6759889C" w14:textId="77777777" w:rsidR="001548B0" w:rsidRDefault="001548B0" w:rsidP="001548B0">
      <w:pPr>
        <w:widowControl/>
        <w:spacing w:after="0" w:line="240" w:lineRule="auto"/>
        <w:rPr>
          <w:b/>
          <w:sz w:val="20"/>
        </w:rPr>
      </w:pPr>
    </w:p>
    <w:p w14:paraId="70DABC35" w14:textId="77777777" w:rsidR="001548B0" w:rsidRDefault="001548B0" w:rsidP="001548B0">
      <w:pPr>
        <w:widowControl/>
        <w:spacing w:after="0" w:line="240" w:lineRule="auto"/>
        <w:rPr>
          <w:b/>
          <w:sz w:val="20"/>
        </w:rPr>
      </w:pPr>
    </w:p>
    <w:p w14:paraId="127340E8" w14:textId="77777777" w:rsidR="001548B0" w:rsidRDefault="001548B0" w:rsidP="001548B0">
      <w:pPr>
        <w:widowControl/>
        <w:spacing w:after="0" w:line="240" w:lineRule="auto"/>
        <w:rPr>
          <w:b/>
          <w:sz w:val="20"/>
        </w:rPr>
      </w:pPr>
    </w:p>
    <w:p w14:paraId="6A8DBD4D" w14:textId="77777777" w:rsidR="001548B0" w:rsidRDefault="001548B0" w:rsidP="001548B0">
      <w:pPr>
        <w:widowControl/>
        <w:spacing w:after="0" w:line="240" w:lineRule="auto"/>
        <w:rPr>
          <w:b/>
          <w:sz w:val="20"/>
        </w:rPr>
      </w:pPr>
    </w:p>
    <w:p w14:paraId="5AA41594" w14:textId="77777777" w:rsidR="001548B0" w:rsidRDefault="001548B0" w:rsidP="001548B0">
      <w:pPr>
        <w:widowControl/>
        <w:spacing w:after="0" w:line="240" w:lineRule="auto"/>
        <w:rPr>
          <w:b/>
          <w:sz w:val="20"/>
        </w:rPr>
      </w:pPr>
    </w:p>
    <w:p w14:paraId="63DCAA1A" w14:textId="77777777" w:rsidR="001548B0" w:rsidRDefault="001548B0" w:rsidP="001548B0">
      <w:pPr>
        <w:widowControl/>
        <w:spacing w:after="0" w:line="240" w:lineRule="auto"/>
        <w:rPr>
          <w:b/>
          <w:sz w:val="20"/>
        </w:rPr>
      </w:pPr>
    </w:p>
    <w:p w14:paraId="23769165" w14:textId="77777777" w:rsidR="001548B0" w:rsidRDefault="001548B0" w:rsidP="001548B0">
      <w:pPr>
        <w:widowControl/>
        <w:spacing w:after="0" w:line="240" w:lineRule="auto"/>
        <w:rPr>
          <w:b/>
          <w:sz w:val="20"/>
        </w:rPr>
      </w:pPr>
    </w:p>
    <w:p w14:paraId="16B4A364" w14:textId="77777777" w:rsidR="001548B0" w:rsidRDefault="001548B0" w:rsidP="001548B0">
      <w:pPr>
        <w:widowControl/>
        <w:spacing w:after="0" w:line="240" w:lineRule="auto"/>
        <w:rPr>
          <w:b/>
          <w:sz w:val="20"/>
        </w:rPr>
      </w:pPr>
    </w:p>
    <w:p w14:paraId="2AECE2AF" w14:textId="77777777" w:rsidR="001548B0" w:rsidRDefault="001548B0" w:rsidP="001548B0">
      <w:pPr>
        <w:widowControl/>
        <w:spacing w:after="0" w:line="240" w:lineRule="auto"/>
        <w:rPr>
          <w:b/>
          <w:sz w:val="20"/>
        </w:rPr>
      </w:pPr>
    </w:p>
    <w:p w14:paraId="5CC1259F" w14:textId="77777777" w:rsidR="001548B0" w:rsidRDefault="001548B0" w:rsidP="001548B0">
      <w:pPr>
        <w:widowControl/>
        <w:spacing w:after="0" w:line="240" w:lineRule="auto"/>
        <w:rPr>
          <w:b/>
          <w:sz w:val="20"/>
        </w:rPr>
      </w:pPr>
    </w:p>
    <w:p w14:paraId="78CD1AA0" w14:textId="77777777" w:rsidR="001548B0" w:rsidRDefault="001548B0" w:rsidP="001548B0">
      <w:pPr>
        <w:widowControl/>
        <w:spacing w:after="0" w:line="240" w:lineRule="auto"/>
        <w:rPr>
          <w:b/>
          <w:sz w:val="20"/>
        </w:rPr>
      </w:pPr>
    </w:p>
    <w:p w14:paraId="6F837278" w14:textId="77777777" w:rsidR="001548B0" w:rsidRDefault="001548B0" w:rsidP="001548B0">
      <w:pPr>
        <w:widowControl/>
        <w:spacing w:after="0" w:line="240" w:lineRule="auto"/>
        <w:rPr>
          <w:b/>
          <w:sz w:val="20"/>
        </w:rPr>
      </w:pPr>
    </w:p>
    <w:p w14:paraId="20CB59A9" w14:textId="77777777" w:rsidR="001548B0" w:rsidRDefault="001548B0" w:rsidP="001548B0">
      <w:pPr>
        <w:widowControl/>
        <w:spacing w:after="0" w:line="240" w:lineRule="auto"/>
        <w:rPr>
          <w:b/>
          <w:sz w:val="20"/>
        </w:rPr>
      </w:pPr>
    </w:p>
    <w:p w14:paraId="343B69CF" w14:textId="77777777" w:rsidR="001548B0" w:rsidRDefault="001548B0" w:rsidP="001548B0">
      <w:pPr>
        <w:widowControl/>
        <w:spacing w:after="0" w:line="240" w:lineRule="auto"/>
        <w:rPr>
          <w:b/>
          <w:sz w:val="20"/>
        </w:rPr>
      </w:pPr>
    </w:p>
    <w:p w14:paraId="6656F3A0" w14:textId="77777777" w:rsidR="001548B0" w:rsidRDefault="001548B0" w:rsidP="001548B0">
      <w:pPr>
        <w:widowControl/>
        <w:spacing w:after="0" w:line="240" w:lineRule="auto"/>
        <w:rPr>
          <w:b/>
          <w:sz w:val="20"/>
        </w:rPr>
      </w:pPr>
    </w:p>
    <w:p w14:paraId="30CD41A1" w14:textId="77777777" w:rsidR="001548B0" w:rsidRDefault="001548B0" w:rsidP="001548B0">
      <w:pPr>
        <w:widowControl/>
        <w:spacing w:after="0" w:line="240" w:lineRule="auto"/>
        <w:rPr>
          <w:b/>
          <w:sz w:val="20"/>
        </w:rPr>
      </w:pPr>
    </w:p>
    <w:p w14:paraId="4D5B84AB" w14:textId="77777777" w:rsidR="001548B0" w:rsidRDefault="001548B0" w:rsidP="001548B0">
      <w:pPr>
        <w:widowControl/>
        <w:spacing w:after="0" w:line="240" w:lineRule="auto"/>
        <w:rPr>
          <w:b/>
          <w:sz w:val="20"/>
        </w:rPr>
      </w:pPr>
    </w:p>
    <w:p w14:paraId="4AFD8364" w14:textId="77777777" w:rsidR="001548B0" w:rsidRDefault="001548B0" w:rsidP="001548B0">
      <w:pPr>
        <w:widowControl/>
        <w:spacing w:after="0" w:line="240" w:lineRule="auto"/>
        <w:rPr>
          <w:b/>
          <w:sz w:val="20"/>
        </w:rPr>
      </w:pPr>
    </w:p>
    <w:p w14:paraId="7AA6630C" w14:textId="77777777" w:rsidR="001548B0" w:rsidRDefault="001548B0" w:rsidP="001548B0">
      <w:pPr>
        <w:widowControl/>
        <w:spacing w:after="0" w:line="240" w:lineRule="auto"/>
        <w:rPr>
          <w:b/>
          <w:sz w:val="20"/>
        </w:rPr>
      </w:pPr>
    </w:p>
    <w:p w14:paraId="5C32CDC0" w14:textId="77777777" w:rsidR="001548B0" w:rsidRDefault="001548B0" w:rsidP="001548B0">
      <w:pPr>
        <w:widowControl/>
        <w:spacing w:after="0" w:line="240" w:lineRule="auto"/>
        <w:rPr>
          <w:b/>
          <w:sz w:val="20"/>
        </w:rPr>
      </w:pPr>
    </w:p>
    <w:p w14:paraId="240C2B79" w14:textId="77777777" w:rsidR="001548B0" w:rsidRDefault="001548B0" w:rsidP="001548B0">
      <w:pPr>
        <w:widowControl/>
        <w:spacing w:after="0" w:line="240" w:lineRule="auto"/>
        <w:rPr>
          <w:b/>
          <w:sz w:val="20"/>
        </w:rPr>
      </w:pPr>
    </w:p>
    <w:p w14:paraId="01EC89F1" w14:textId="77777777" w:rsidR="001548B0" w:rsidRDefault="001548B0" w:rsidP="001548B0">
      <w:pPr>
        <w:widowControl/>
        <w:spacing w:after="0" w:line="240" w:lineRule="auto"/>
        <w:rPr>
          <w:b/>
          <w:sz w:val="20"/>
        </w:rPr>
      </w:pPr>
    </w:p>
    <w:p w14:paraId="6A7492E1" w14:textId="77777777" w:rsidR="001548B0" w:rsidRDefault="001548B0" w:rsidP="001548B0">
      <w:pPr>
        <w:widowControl/>
        <w:spacing w:after="0" w:line="240" w:lineRule="auto"/>
        <w:rPr>
          <w:b/>
          <w:sz w:val="20"/>
        </w:rPr>
      </w:pPr>
    </w:p>
    <w:p w14:paraId="1533A1A7" w14:textId="77777777" w:rsidR="001548B0" w:rsidRDefault="001548B0" w:rsidP="001548B0">
      <w:pPr>
        <w:widowControl/>
        <w:spacing w:after="0" w:line="240" w:lineRule="auto"/>
        <w:rPr>
          <w:b/>
          <w:sz w:val="20"/>
        </w:rPr>
      </w:pPr>
    </w:p>
    <w:p w14:paraId="78CD3AF6" w14:textId="77777777" w:rsidR="001548B0" w:rsidRDefault="001548B0" w:rsidP="001548B0">
      <w:pPr>
        <w:widowControl/>
        <w:spacing w:after="0" w:line="240" w:lineRule="auto"/>
        <w:rPr>
          <w:b/>
          <w:sz w:val="20"/>
        </w:rPr>
      </w:pPr>
    </w:p>
    <w:p w14:paraId="745BF184" w14:textId="77777777" w:rsidR="001548B0" w:rsidRDefault="001548B0" w:rsidP="001548B0">
      <w:pPr>
        <w:widowControl/>
        <w:spacing w:after="0" w:line="240" w:lineRule="auto"/>
        <w:rPr>
          <w:b/>
          <w:sz w:val="20"/>
        </w:rPr>
      </w:pPr>
    </w:p>
    <w:p w14:paraId="064D426D" w14:textId="77777777" w:rsidR="001548B0" w:rsidRDefault="001548B0" w:rsidP="001548B0">
      <w:pPr>
        <w:widowControl/>
        <w:spacing w:after="0" w:line="240" w:lineRule="auto"/>
        <w:rPr>
          <w:b/>
          <w:sz w:val="20"/>
        </w:rPr>
      </w:pPr>
    </w:p>
    <w:p w14:paraId="5CFA119C" w14:textId="77777777" w:rsidR="001548B0" w:rsidRDefault="001548B0" w:rsidP="001548B0">
      <w:pPr>
        <w:widowControl/>
        <w:spacing w:after="0" w:line="240" w:lineRule="auto"/>
        <w:rPr>
          <w:b/>
          <w:sz w:val="20"/>
        </w:rPr>
      </w:pPr>
    </w:p>
    <w:p w14:paraId="0082687D" w14:textId="77777777" w:rsidR="001548B0" w:rsidRDefault="001548B0" w:rsidP="001548B0">
      <w:pPr>
        <w:widowControl/>
        <w:spacing w:after="0" w:line="240" w:lineRule="auto"/>
        <w:rPr>
          <w:b/>
          <w:sz w:val="20"/>
        </w:rPr>
      </w:pPr>
    </w:p>
    <w:p w14:paraId="25EF3C95" w14:textId="77777777" w:rsidR="001548B0" w:rsidRDefault="001548B0" w:rsidP="001548B0">
      <w:pPr>
        <w:widowControl/>
        <w:spacing w:after="0" w:line="240" w:lineRule="auto"/>
        <w:rPr>
          <w:b/>
          <w:sz w:val="20"/>
        </w:rPr>
      </w:pPr>
    </w:p>
    <w:p w14:paraId="65F3EA4F" w14:textId="77777777" w:rsidR="001548B0" w:rsidRDefault="001548B0" w:rsidP="001548B0">
      <w:pPr>
        <w:widowControl/>
        <w:spacing w:after="0" w:line="240" w:lineRule="auto"/>
        <w:rPr>
          <w:b/>
          <w:sz w:val="20"/>
        </w:rPr>
      </w:pPr>
    </w:p>
    <w:p w14:paraId="71A12A31" w14:textId="77777777" w:rsidR="00A3361E" w:rsidRDefault="00A3361E" w:rsidP="001548B0">
      <w:pPr>
        <w:widowControl/>
        <w:spacing w:after="0" w:line="240" w:lineRule="auto"/>
        <w:rPr>
          <w:b/>
          <w:sz w:val="20"/>
        </w:rPr>
      </w:pPr>
    </w:p>
    <w:p w14:paraId="7E973AEB" w14:textId="77777777" w:rsidR="00A3361E" w:rsidRDefault="00A3361E" w:rsidP="001548B0">
      <w:pPr>
        <w:widowControl/>
        <w:spacing w:after="0" w:line="240" w:lineRule="auto"/>
        <w:rPr>
          <w:b/>
          <w:sz w:val="20"/>
        </w:rPr>
      </w:pPr>
    </w:p>
    <w:p w14:paraId="7525B526" w14:textId="77777777" w:rsidR="00A3361E" w:rsidRDefault="00A3361E" w:rsidP="001548B0">
      <w:pPr>
        <w:widowControl/>
        <w:spacing w:after="0" w:line="240" w:lineRule="auto"/>
        <w:rPr>
          <w:b/>
          <w:sz w:val="20"/>
        </w:rPr>
      </w:pPr>
    </w:p>
    <w:p w14:paraId="5970B74C" w14:textId="0ABC4EBF" w:rsidR="001548B0" w:rsidRPr="004C73CC" w:rsidRDefault="001548B0" w:rsidP="001548B0">
      <w:pPr>
        <w:widowControl/>
        <w:spacing w:after="0" w:line="240" w:lineRule="auto"/>
        <w:rPr>
          <w:sz w:val="20"/>
        </w:rPr>
      </w:pPr>
      <w:r w:rsidRPr="004C73CC">
        <w:rPr>
          <w:b/>
          <w:sz w:val="20"/>
        </w:rPr>
        <w:t xml:space="preserve">How We Will Calculate Your Balance. </w:t>
      </w:r>
      <w:r w:rsidRPr="004C73CC">
        <w:rPr>
          <w:sz w:val="20"/>
        </w:rPr>
        <w:t>We use a method called “average daily balance (including new purchases).” See your Credit Card Agreement for more details.</w:t>
      </w:r>
    </w:p>
    <w:p w14:paraId="5434B1A1" w14:textId="77777777" w:rsidR="001548B0" w:rsidRPr="004C73CC" w:rsidRDefault="001548B0" w:rsidP="001548B0">
      <w:pPr>
        <w:widowControl/>
        <w:spacing w:after="0" w:line="240" w:lineRule="auto"/>
        <w:rPr>
          <w:sz w:val="20"/>
        </w:rPr>
      </w:pPr>
    </w:p>
    <w:p w14:paraId="048F5139" w14:textId="77777777" w:rsidR="001548B0" w:rsidRPr="004C73CC" w:rsidRDefault="001548B0" w:rsidP="001548B0">
      <w:pPr>
        <w:widowControl/>
        <w:spacing w:after="0" w:line="240" w:lineRule="auto"/>
        <w:rPr>
          <w:b/>
          <w:sz w:val="20"/>
        </w:rPr>
      </w:pPr>
      <w:r w:rsidRPr="004C73CC">
        <w:rPr>
          <w:b/>
          <w:sz w:val="20"/>
        </w:rPr>
        <w:t>Billing Rights</w:t>
      </w:r>
    </w:p>
    <w:p w14:paraId="092BA21F" w14:textId="77777777" w:rsidR="001548B0" w:rsidRPr="004C73CC" w:rsidRDefault="001548B0" w:rsidP="001548B0">
      <w:pPr>
        <w:widowControl/>
        <w:spacing w:after="0" w:line="240" w:lineRule="auto"/>
        <w:rPr>
          <w:sz w:val="20"/>
        </w:rPr>
      </w:pPr>
      <w:r w:rsidRPr="004C73CC">
        <w:rPr>
          <w:sz w:val="20"/>
        </w:rPr>
        <w:t>Information on your rights to dispute transactions and how to exercise those rights is provided in your Credit Card Agreement.</w:t>
      </w:r>
    </w:p>
    <w:p w14:paraId="69F72B64" w14:textId="77777777" w:rsidR="001548B0" w:rsidRPr="004C73CC" w:rsidRDefault="001548B0" w:rsidP="001548B0">
      <w:pPr>
        <w:widowControl/>
        <w:spacing w:after="0" w:line="240" w:lineRule="auto"/>
        <w:rPr>
          <w:sz w:val="20"/>
        </w:rPr>
      </w:pPr>
    </w:p>
    <w:p w14:paraId="4A489B01" w14:textId="77777777" w:rsidR="001548B0" w:rsidRPr="004C73CC" w:rsidRDefault="001548B0" w:rsidP="001548B0">
      <w:pPr>
        <w:widowControl/>
        <w:spacing w:after="0" w:line="240" w:lineRule="auto"/>
        <w:rPr>
          <w:b/>
          <w:sz w:val="20"/>
        </w:rPr>
      </w:pPr>
      <w:r w:rsidRPr="004C73CC">
        <w:rPr>
          <w:b/>
          <w:sz w:val="20"/>
        </w:rPr>
        <w:t>Effective Date.</w:t>
      </w:r>
    </w:p>
    <w:p w14:paraId="5E6F62FB" w14:textId="21B6F4F0" w:rsidR="001548B0" w:rsidRPr="004C73CC" w:rsidRDefault="001548B0" w:rsidP="001548B0">
      <w:pPr>
        <w:widowControl/>
        <w:spacing w:after="0" w:line="240" w:lineRule="auto"/>
        <w:rPr>
          <w:sz w:val="20"/>
        </w:rPr>
      </w:pPr>
      <w:r w:rsidRPr="004C73CC">
        <w:rPr>
          <w:sz w:val="20"/>
        </w:rPr>
        <w:t xml:space="preserve">The information about the costs of the card described in the application is accurate as </w:t>
      </w:r>
      <w:r w:rsidR="00717D5E">
        <w:rPr>
          <w:sz w:val="20"/>
        </w:rPr>
        <w:t>of January 1, 202</w:t>
      </w:r>
      <w:r w:rsidR="00A3361E">
        <w:rPr>
          <w:sz w:val="20"/>
        </w:rPr>
        <w:t>3</w:t>
      </w:r>
      <w:r w:rsidRPr="004C73CC">
        <w:rPr>
          <w:sz w:val="20"/>
        </w:rPr>
        <w:t>. This information may have changed after that date. To find out what may have changed, contact Century Heritage.</w:t>
      </w:r>
    </w:p>
    <w:p w14:paraId="72352D6B" w14:textId="77777777" w:rsidR="001548B0" w:rsidRPr="004C73CC" w:rsidRDefault="001548B0" w:rsidP="001548B0">
      <w:pPr>
        <w:widowControl/>
        <w:spacing w:after="0" w:line="240" w:lineRule="auto"/>
      </w:pPr>
    </w:p>
    <w:p w14:paraId="7D1C53D5" w14:textId="77777777" w:rsidR="001548B0" w:rsidRPr="004C73CC" w:rsidRDefault="001548B0" w:rsidP="001548B0">
      <w:pPr>
        <w:widowControl/>
        <w:spacing w:after="0" w:line="240" w:lineRule="auto"/>
        <w:rPr>
          <w:sz w:val="20"/>
        </w:rPr>
      </w:pPr>
      <w:r w:rsidRPr="004C73CC">
        <w:rPr>
          <w:b/>
          <w:sz w:val="20"/>
        </w:rPr>
        <w:t>OTHER DISCLOSURES</w:t>
      </w:r>
    </w:p>
    <w:p w14:paraId="42C91D39" w14:textId="77777777" w:rsidR="001548B0" w:rsidRPr="004C73CC" w:rsidRDefault="001548B0" w:rsidP="001548B0">
      <w:pPr>
        <w:widowControl/>
        <w:spacing w:after="0" w:line="240" w:lineRule="auto"/>
        <w:rPr>
          <w:sz w:val="20"/>
        </w:rPr>
      </w:pPr>
    </w:p>
    <w:p w14:paraId="3872DD83" w14:textId="77777777" w:rsidR="001548B0" w:rsidRPr="004C73CC" w:rsidRDefault="001548B0" w:rsidP="001548B0">
      <w:pPr>
        <w:widowControl/>
        <w:spacing w:after="0" w:line="240" w:lineRule="auto"/>
        <w:rPr>
          <w:sz w:val="20"/>
        </w:rPr>
      </w:pPr>
      <w:r w:rsidRPr="004C73CC">
        <w:rPr>
          <w:sz w:val="20"/>
        </w:rPr>
        <w:t>Rush Fee</w:t>
      </w:r>
      <w:r w:rsidRPr="004C73CC">
        <w:rPr>
          <w:sz w:val="20"/>
        </w:rPr>
        <w:tab/>
      </w:r>
      <w:r w:rsidRPr="004C73CC">
        <w:rPr>
          <w:sz w:val="20"/>
        </w:rPr>
        <w:tab/>
      </w:r>
      <w:r w:rsidRPr="004C73CC">
        <w:rPr>
          <w:sz w:val="20"/>
        </w:rPr>
        <w:tab/>
        <w:t xml:space="preserve">      $30.00</w:t>
      </w:r>
    </w:p>
    <w:p w14:paraId="29A8C135" w14:textId="77777777" w:rsidR="001548B0" w:rsidRPr="004C73CC" w:rsidRDefault="001548B0" w:rsidP="001548B0">
      <w:pPr>
        <w:widowControl/>
        <w:spacing w:after="0" w:line="240" w:lineRule="auto"/>
        <w:rPr>
          <w:sz w:val="20"/>
        </w:rPr>
      </w:pPr>
      <w:r w:rsidRPr="004C73CC">
        <w:rPr>
          <w:sz w:val="20"/>
        </w:rPr>
        <w:t>Emergency Card Replacement Fee</w:t>
      </w:r>
      <w:r w:rsidRPr="004C73CC">
        <w:rPr>
          <w:sz w:val="20"/>
        </w:rPr>
        <w:tab/>
        <w:t xml:space="preserve">      $30.00</w:t>
      </w:r>
    </w:p>
    <w:p w14:paraId="01E0C1A4" w14:textId="5ECAC44D" w:rsidR="00437CAA" w:rsidRDefault="001548B0" w:rsidP="00A3361E">
      <w:pPr>
        <w:widowControl/>
        <w:spacing w:after="0" w:line="240" w:lineRule="auto"/>
      </w:pPr>
      <w:r w:rsidRPr="004C73CC">
        <w:rPr>
          <w:sz w:val="20"/>
        </w:rPr>
        <w:t>Card Replacement Fee</w:t>
      </w:r>
      <w:r w:rsidRPr="004C73CC">
        <w:rPr>
          <w:sz w:val="20"/>
        </w:rPr>
        <w:tab/>
      </w:r>
      <w:r w:rsidRPr="004C73CC">
        <w:rPr>
          <w:sz w:val="20"/>
        </w:rPr>
        <w:tab/>
        <w:t xml:space="preserve">      $25.00</w:t>
      </w:r>
    </w:p>
    <w:sectPr w:rsidR="00437CAA" w:rsidSect="00154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35143"/>
    <w:multiLevelType w:val="hybridMultilevel"/>
    <w:tmpl w:val="35D6B702"/>
    <w:lvl w:ilvl="0" w:tplc="CF30F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0"/>
    <w:rsid w:val="00114154"/>
    <w:rsid w:val="001548B0"/>
    <w:rsid w:val="00175485"/>
    <w:rsid w:val="00437CAA"/>
    <w:rsid w:val="00717D5E"/>
    <w:rsid w:val="00A3361E"/>
    <w:rsid w:val="00DD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5BD8"/>
  <w15:chartTrackingRefBased/>
  <w15:docId w15:val="{8A5D8828-D1CD-443A-87D5-384051A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B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5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Eubank</dc:creator>
  <cp:keywords/>
  <dc:description/>
  <cp:lastModifiedBy>Leigh Eubank</cp:lastModifiedBy>
  <cp:revision>5</cp:revision>
  <cp:lastPrinted>2019-07-30T19:50:00Z</cp:lastPrinted>
  <dcterms:created xsi:type="dcterms:W3CDTF">2019-12-31T14:21:00Z</dcterms:created>
  <dcterms:modified xsi:type="dcterms:W3CDTF">2022-12-06T15:59:00Z</dcterms:modified>
</cp:coreProperties>
</file>